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C7A6" w14:textId="0167FD2A" w:rsidR="002E56D4" w:rsidRDefault="00992C99">
      <w:pPr>
        <w:rPr>
          <w:rFonts w:ascii="Cambria" w:hAnsi="Cambria"/>
          <w:bCs/>
          <w:sz w:val="22"/>
        </w:rPr>
      </w:pPr>
      <w:r w:rsidRPr="00E23628">
        <w:rPr>
          <w:rFonts w:ascii="Cambria" w:hAnsi="Cambria"/>
          <w:bCs/>
          <w:sz w:val="22"/>
        </w:rPr>
        <w:t>Supplementary Table S1</w:t>
      </w:r>
      <w:r w:rsidRPr="002873D0">
        <w:rPr>
          <w:rFonts w:ascii="Cambria" w:hAnsi="Cambria"/>
          <w:bCs/>
          <w:sz w:val="22"/>
        </w:rPr>
        <w:t>. Study characteristics of the 14 selected publications</w:t>
      </w:r>
    </w:p>
    <w:tbl>
      <w:tblPr>
        <w:tblStyle w:val="Mdeck5tablebodythreelines"/>
        <w:tblW w:w="10065" w:type="dxa"/>
        <w:tblBorders>
          <w:top w:val="single" w:sz="8" w:space="0" w:color="auto"/>
          <w:insideH w:val="single" w:sz="4" w:space="0" w:color="auto"/>
        </w:tblBorders>
        <w:tblLayout w:type="fixed"/>
        <w:tblLook w:val="04A0" w:firstRow="1" w:lastRow="0" w:firstColumn="1" w:lastColumn="0" w:noHBand="0" w:noVBand="1"/>
      </w:tblPr>
      <w:tblGrid>
        <w:gridCol w:w="567"/>
        <w:gridCol w:w="1134"/>
        <w:gridCol w:w="851"/>
        <w:gridCol w:w="823"/>
        <w:gridCol w:w="988"/>
        <w:gridCol w:w="1392"/>
        <w:gridCol w:w="1275"/>
        <w:gridCol w:w="1448"/>
        <w:gridCol w:w="1587"/>
      </w:tblGrid>
      <w:tr w:rsidR="00992C99" w:rsidRPr="002873D0" w14:paraId="42DE2E58" w14:textId="77777777" w:rsidTr="00C93C33">
        <w:trPr>
          <w:cnfStyle w:val="100000000000" w:firstRow="1" w:lastRow="0" w:firstColumn="0" w:lastColumn="0" w:oddVBand="0" w:evenVBand="0" w:oddHBand="0" w:evenHBand="0" w:firstRowFirstColumn="0" w:firstRowLastColumn="0" w:lastRowFirstColumn="0" w:lastRowLastColumn="0"/>
          <w:trHeight w:val="1132"/>
        </w:trPr>
        <w:tc>
          <w:tcPr>
            <w:tcW w:w="567" w:type="dxa"/>
          </w:tcPr>
          <w:p w14:paraId="14AB621E"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No.</w:t>
            </w:r>
          </w:p>
        </w:tc>
        <w:tc>
          <w:tcPr>
            <w:tcW w:w="1134" w:type="dxa"/>
          </w:tcPr>
          <w:p w14:paraId="0DDFCCFA"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Study design</w:t>
            </w:r>
          </w:p>
        </w:tc>
        <w:tc>
          <w:tcPr>
            <w:tcW w:w="851" w:type="dxa"/>
          </w:tcPr>
          <w:p w14:paraId="5DC74F83"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Strength of Inference</w:t>
            </w:r>
          </w:p>
        </w:tc>
        <w:tc>
          <w:tcPr>
            <w:tcW w:w="823" w:type="dxa"/>
          </w:tcPr>
          <w:p w14:paraId="42423360"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Date</w:t>
            </w:r>
          </w:p>
        </w:tc>
        <w:tc>
          <w:tcPr>
            <w:tcW w:w="988" w:type="dxa"/>
          </w:tcPr>
          <w:p w14:paraId="00B9BB1A"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 xml:space="preserve">Population </w:t>
            </w:r>
          </w:p>
        </w:tc>
        <w:tc>
          <w:tcPr>
            <w:tcW w:w="1392" w:type="dxa"/>
          </w:tcPr>
          <w:p w14:paraId="704B8406"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Intervention</w:t>
            </w:r>
          </w:p>
        </w:tc>
        <w:tc>
          <w:tcPr>
            <w:tcW w:w="1275" w:type="dxa"/>
          </w:tcPr>
          <w:p w14:paraId="1C14C123"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Outcome</w:t>
            </w:r>
          </w:p>
        </w:tc>
        <w:tc>
          <w:tcPr>
            <w:tcW w:w="1448" w:type="dxa"/>
          </w:tcPr>
          <w:p w14:paraId="63420A65"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Identified biological biomarkers</w:t>
            </w:r>
          </w:p>
        </w:tc>
        <w:tc>
          <w:tcPr>
            <w:tcW w:w="1587" w:type="dxa"/>
          </w:tcPr>
          <w:p w14:paraId="7795A4BF" w14:textId="77777777" w:rsidR="00992C99" w:rsidRPr="002873D0" w:rsidRDefault="00992C99" w:rsidP="006F1E51">
            <w:pPr>
              <w:pStyle w:val="MDPI21heading1"/>
              <w:spacing w:line="360" w:lineRule="auto"/>
              <w:ind w:left="0"/>
              <w:rPr>
                <w:rFonts w:ascii="Cambria" w:hAnsi="Cambria"/>
                <w:bCs/>
                <w:color w:val="auto"/>
                <w:lang w:val="en-GB"/>
              </w:rPr>
            </w:pPr>
            <w:r w:rsidRPr="002873D0">
              <w:rPr>
                <w:rFonts w:ascii="Cambria" w:hAnsi="Cambria"/>
                <w:bCs/>
                <w:color w:val="auto"/>
                <w:lang w:val="en-GB"/>
              </w:rPr>
              <w:t>Ref.</w:t>
            </w:r>
          </w:p>
        </w:tc>
      </w:tr>
      <w:tr w:rsidR="00992C99" w:rsidRPr="002873D0" w14:paraId="217EA8B5" w14:textId="77777777" w:rsidTr="00C93C33">
        <w:trPr>
          <w:trHeight w:val="2208"/>
        </w:trPr>
        <w:tc>
          <w:tcPr>
            <w:tcW w:w="567" w:type="dxa"/>
          </w:tcPr>
          <w:p w14:paraId="60A4C2A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w:t>
            </w:r>
          </w:p>
        </w:tc>
        <w:tc>
          <w:tcPr>
            <w:tcW w:w="1134" w:type="dxa"/>
          </w:tcPr>
          <w:p w14:paraId="2BCC74F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Randomized controlled trial (RCT)</w:t>
            </w:r>
          </w:p>
        </w:tc>
        <w:tc>
          <w:tcPr>
            <w:tcW w:w="851" w:type="dxa"/>
          </w:tcPr>
          <w:p w14:paraId="5DAFB13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High</w:t>
            </w:r>
          </w:p>
        </w:tc>
        <w:tc>
          <w:tcPr>
            <w:tcW w:w="823" w:type="dxa"/>
          </w:tcPr>
          <w:p w14:paraId="382F9A5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2011</w:t>
            </w:r>
          </w:p>
        </w:tc>
        <w:tc>
          <w:tcPr>
            <w:tcW w:w="988" w:type="dxa"/>
          </w:tcPr>
          <w:p w14:paraId="154127B8"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45 adults (age range not specified)</w:t>
            </w:r>
          </w:p>
        </w:tc>
        <w:tc>
          <w:tcPr>
            <w:tcW w:w="1392" w:type="dxa"/>
          </w:tcPr>
          <w:p w14:paraId="7F9D7A1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7-week asthma self-management program</w:t>
            </w:r>
          </w:p>
        </w:tc>
        <w:tc>
          <w:tcPr>
            <w:tcW w:w="1275" w:type="dxa"/>
          </w:tcPr>
          <w:p w14:paraId="5761795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Improved asthma self-efficacy and health behaviours</w:t>
            </w:r>
          </w:p>
        </w:tc>
        <w:tc>
          <w:tcPr>
            <w:tcW w:w="1448" w:type="dxa"/>
          </w:tcPr>
          <w:p w14:paraId="5178758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n/a</w:t>
            </w:r>
          </w:p>
        </w:tc>
        <w:tc>
          <w:tcPr>
            <w:tcW w:w="1587" w:type="dxa"/>
          </w:tcPr>
          <w:p w14:paraId="154209CD"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Tousman</w:t>
            </w:r>
            <w:proofErr w:type="spellEnd"/>
            <w:r w:rsidRPr="002873D0">
              <w:rPr>
                <w:rFonts w:ascii="Cambria" w:hAnsi="Cambria"/>
                <w:b w:val="0"/>
                <w:color w:val="auto"/>
                <w:sz w:val="22"/>
                <w:lang w:val="en-GB"/>
              </w:rPr>
              <w:t xml:space="preserve"> </w:t>
            </w:r>
            <w:proofErr w:type="spellStart"/>
            <w:r w:rsidRPr="002873D0">
              <w:rPr>
                <w:rFonts w:ascii="Cambria" w:hAnsi="Cambria"/>
                <w:b w:val="0"/>
                <w:color w:val="auto"/>
                <w:sz w:val="22"/>
                <w:lang w:val="en-GB"/>
              </w:rPr>
              <w:t>sman</w:t>
            </w:r>
            <w:proofErr w:type="spellEnd"/>
            <w:r w:rsidRPr="002873D0">
              <w:rPr>
                <w:rFonts w:ascii="Cambria" w:hAnsi="Cambria"/>
                <w:b w:val="0"/>
                <w:color w:val="auto"/>
                <w:sz w:val="22"/>
                <w:lang w:val="en-GB"/>
              </w:rPr>
              <w:t xml:space="preserve"> et al. 2011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{"citationID":"I4IZfEY1","properties":{"formattedCitation":"[37]","plainCitation":"[37]","noteIndex":0},"citationItems":[{"id":250,"uris":["http://zotero.org/users/10236804/items/Z4RU7DE4"],"itemData":{"id":250,"type":"article-journal","abstract":"Aims: The purpose of the present research was to design and implement an adult asthma self-management program using a randomized control design.  Methods: A total of 24 participants served in the control group while 21 participants served in the intervention group. Those in the intervention group participated in 7 weekly meetings which consisted of interactive discussions, problem-solving, social support and a behavior modification procedure. The behavior modification procedure consisted of homework assignments in which participants were asked to self-monitor and record asthma specific behaviors (including peak expiratory flow, avoidance/removal of asthma triggers, and controller medication adherence) and general lifestyle behaviors (including drinking water, practicing relaxation, washing hands and exercising).  Results: A series of two factor mixed design analysis of variance computations indicated statistically significant interactions. When compared to participants in the control condition, those individuals who participated in the intervention had significant improvements in asthma self-efficacy, asthma quality of life, and patient activation. Significant interactions also indicated that those in the intervention groups had increases in the frequencies of the following self-reported behaviors: 1) reducing asthma triggers; 2), reading about asthma; 3) peak flow monitoring; 4) exercising, and; 5) hand washing. Follow-up data 2 months after the intervention indicated maintenance for many of the psychological, cognitive and behavioral changes.  Conclusions: These results confirm that our adult asthma selfmanagement program can lead to improvements in short term outcomes.","container-title":"Journal of Asthma &amp; Allergy Educators","DOI":"10.1177/2150129710395752","ISSN":"2150-1297, 2150-1300","issue":"2","language":"en","license":"https://journals.sagepub.com/page/policies/text-and-data-mining-license","note":"publisher: SAGE Publications","page":"91-96","source":"Crossref","title":"A Randomized Controlled Behavioral Trial of a New Adult Asthma Self-management Program","URL":"https://journals.sagepub.com/doi/10.1177/2150129710395752","volume":"2","author":[{"family":"Tousman","given":"Stuart A."},{"family":"Zeitz","given":"Howard"},{"family":"Bond","given":"Donna"},{"family":"Stewart","given":"Deidira"},{"family":"Rackow","given":"Regina"},{"family":"Greer","given":"Rebecca"},{"family":"Hatfield","given":"Sharon"},{"family":"Layman","given":"Karen"},{"family":"Ganjwala","given":"Puja"}],"accessed":{"date-parts":[["2025",5,1]]},"issued":{"date-parts":[["2011",4]]}}}],"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[37]</w:t>
            </w:r>
            <w:r w:rsidRPr="002873D0">
              <w:rPr>
                <w:rFonts w:ascii="Cambria" w:hAnsi="Cambria"/>
                <w:b w:val="0"/>
                <w:color w:val="auto"/>
                <w:sz w:val="22"/>
                <w:lang w:val="en-GB"/>
              </w:rPr>
              <w:fldChar w:fldCharType="end"/>
            </w:r>
          </w:p>
        </w:tc>
      </w:tr>
      <w:tr w:rsidR="00992C99" w:rsidRPr="002873D0" w14:paraId="48C848D4" w14:textId="77777777" w:rsidTr="00C93C33">
        <w:trPr>
          <w:trHeight w:val="1826"/>
        </w:trPr>
        <w:tc>
          <w:tcPr>
            <w:tcW w:w="567" w:type="dxa"/>
          </w:tcPr>
          <w:p w14:paraId="131AFA2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w:t>
            </w:r>
          </w:p>
        </w:tc>
        <w:tc>
          <w:tcPr>
            <w:tcW w:w="1134" w:type="dxa"/>
          </w:tcPr>
          <w:p w14:paraId="0CFC62B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Parallel design (between-subjects design)</w:t>
            </w:r>
          </w:p>
        </w:tc>
        <w:tc>
          <w:tcPr>
            <w:tcW w:w="851" w:type="dxa"/>
          </w:tcPr>
          <w:p w14:paraId="4963120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 to high</w:t>
            </w:r>
          </w:p>
        </w:tc>
        <w:tc>
          <w:tcPr>
            <w:tcW w:w="823" w:type="dxa"/>
          </w:tcPr>
          <w:p w14:paraId="78B7FF7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2016</w:t>
            </w:r>
          </w:p>
        </w:tc>
        <w:tc>
          <w:tcPr>
            <w:tcW w:w="988" w:type="dxa"/>
          </w:tcPr>
          <w:p w14:paraId="45D17A4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101 individuals aged 18 to 30 years</w:t>
            </w:r>
          </w:p>
        </w:tc>
        <w:tc>
          <w:tcPr>
            <w:tcW w:w="1392" w:type="dxa"/>
          </w:tcPr>
          <w:p w14:paraId="104C2EF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Mild dehydration impact on cognition</w:t>
            </w:r>
          </w:p>
        </w:tc>
        <w:tc>
          <w:tcPr>
            <w:tcW w:w="1275" w:type="dxa"/>
          </w:tcPr>
          <w:p w14:paraId="55B360C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Enhanced memory and attention</w:t>
            </w:r>
          </w:p>
        </w:tc>
        <w:tc>
          <w:tcPr>
            <w:tcW w:w="1448" w:type="dxa"/>
          </w:tcPr>
          <w:p w14:paraId="5D95577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Urine osmolality</w:t>
            </w:r>
          </w:p>
        </w:tc>
        <w:tc>
          <w:tcPr>
            <w:tcW w:w="1587" w:type="dxa"/>
          </w:tcPr>
          <w:p w14:paraId="454A2708"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Benton et al. 2016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{"citationID":"ErjdaTUe","properties":{"formattedCitation":"[38]","plainCitation":"[38]","noteIndex":0},"citationItems":[{"id":260,"uris":["http://zotero.org/users/10236804/items/7CL3ID5H"],"itemData":{"id":260,"type":"article-journal","container-title":"The American Journal of Clinical Nutrition","DOI":"10.3945/ajcn.116.132605","ISSN":"0002-9165","issue":"3","language":"en","license":"https://www.elsevier.com/tdm/userlicense/1.0/","note":"publisher: Elsevier BV","page":"603-612","source":"Crossref","title":"Minor degree of hypohydration adversely influences cognition: a mediator analysis","title-short":"Minor degree of hypohydration adversely influences cognition","URL":"https://linkinghub.elsevier.com/retrieve/pii/S0002916522045828","volume":"104","author":[{"family":"Benton","given":"David"},{"family":"Jenkins","given":"Kimberly T"},{"family":"Watkins","given":"Heather T"},{"family":"Young","given":"Hayley A"}],"accessed":{"date-parts":[["2025",5,1]]},"issued":{"date-parts":[["2016",9]]}}}],"schema":"https://github.com/citation-style-language/schema/raw/master/csl-citation.json"}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[38]</w:t>
            </w:r>
            <w:r w:rsidRPr="002873D0">
              <w:rPr>
                <w:rFonts w:ascii="Cambria" w:hAnsi="Cambria"/>
                <w:b w:val="0"/>
                <w:color w:val="auto"/>
                <w:sz w:val="22"/>
                <w:lang w:val="en-GB"/>
              </w:rPr>
              <w:fldChar w:fldCharType="end"/>
            </w:r>
          </w:p>
        </w:tc>
      </w:tr>
      <w:tr w:rsidR="00992C99" w:rsidRPr="002873D0" w14:paraId="4FD29A72" w14:textId="77777777" w:rsidTr="00C93C33">
        <w:trPr>
          <w:trHeight w:val="2208"/>
        </w:trPr>
        <w:tc>
          <w:tcPr>
            <w:tcW w:w="567" w:type="dxa"/>
          </w:tcPr>
          <w:p w14:paraId="469ECE9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3</w:t>
            </w:r>
          </w:p>
        </w:tc>
        <w:tc>
          <w:tcPr>
            <w:tcW w:w="1134" w:type="dxa"/>
          </w:tcPr>
          <w:p w14:paraId="5567A3E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prospective birth cohort study design</w:t>
            </w:r>
          </w:p>
        </w:tc>
        <w:tc>
          <w:tcPr>
            <w:tcW w:w="851" w:type="dxa"/>
          </w:tcPr>
          <w:p w14:paraId="0407F891"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 to high</w:t>
            </w:r>
          </w:p>
        </w:tc>
        <w:tc>
          <w:tcPr>
            <w:tcW w:w="823" w:type="dxa"/>
          </w:tcPr>
          <w:p w14:paraId="40D77AC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2023</w:t>
            </w:r>
          </w:p>
        </w:tc>
        <w:tc>
          <w:tcPr>
            <w:tcW w:w="988" w:type="dxa"/>
          </w:tcPr>
          <w:p w14:paraId="258D6B8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255 mother-child pairs with complete data at the 8-year follow-up and 236 pairs at the 11-year </w:t>
            </w:r>
            <w:r w:rsidRPr="002873D0">
              <w:rPr>
                <w:rFonts w:ascii="Cambria" w:hAnsi="Cambria"/>
                <w:b w:val="0"/>
                <w:color w:val="auto"/>
                <w:sz w:val="22"/>
                <w:lang w:val="en-GB"/>
              </w:rPr>
              <w:lastRenderedPageBreak/>
              <w:t>follow-up</w:t>
            </w:r>
          </w:p>
        </w:tc>
        <w:tc>
          <w:tcPr>
            <w:tcW w:w="1392" w:type="dxa"/>
          </w:tcPr>
          <w:p w14:paraId="3D61CD1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lastRenderedPageBreak/>
              <w:t>Prenatal fluoride exposure association with ADHD</w:t>
            </w:r>
          </w:p>
        </w:tc>
        <w:tc>
          <w:tcPr>
            <w:tcW w:w="1275" w:type="dxa"/>
          </w:tcPr>
          <w:p w14:paraId="6C06B38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Higher maternal urinary fluoride during pregnancy associated with a lower risk of Lower ADHD-inattention risk at age 11</w:t>
            </w:r>
          </w:p>
        </w:tc>
        <w:tc>
          <w:tcPr>
            <w:tcW w:w="1448" w:type="dxa"/>
          </w:tcPr>
          <w:p w14:paraId="5822A57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fluoride adjusted for creatinine (</w:t>
            </w:r>
            <w:proofErr w:type="spellStart"/>
            <w:r w:rsidRPr="002873D0">
              <w:rPr>
                <w:rFonts w:ascii="Cambria" w:hAnsi="Cambria"/>
                <w:b w:val="0"/>
                <w:color w:val="auto"/>
                <w:sz w:val="22"/>
                <w:lang w:val="en-GB"/>
              </w:rPr>
              <w:t>MUFcr</w:t>
            </w:r>
            <w:proofErr w:type="spellEnd"/>
            <w:r w:rsidRPr="002873D0">
              <w:rPr>
                <w:rFonts w:ascii="Cambria" w:hAnsi="Cambria"/>
                <w:b w:val="0"/>
                <w:color w:val="auto"/>
                <w:sz w:val="22"/>
                <w:lang w:val="en-GB"/>
              </w:rPr>
              <w:t>)</w:t>
            </w:r>
          </w:p>
        </w:tc>
        <w:tc>
          <w:tcPr>
            <w:tcW w:w="1587" w:type="dxa"/>
          </w:tcPr>
          <w:p w14:paraId="44321168"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Ibarluzea</w:t>
            </w:r>
            <w:proofErr w:type="spellEnd"/>
            <w:r w:rsidRPr="002873D0">
              <w:rPr>
                <w:rFonts w:ascii="Cambria" w:hAnsi="Cambria"/>
                <w:b w:val="0"/>
                <w:color w:val="auto"/>
                <w:sz w:val="22"/>
                <w:lang w:val="en-GB"/>
              </w:rPr>
              <w:t xml:space="preserve"> et al. 2023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{"citationID":"TmV7EkgV","properties":{"formattedCitation":"[39]","plainCitation":"[39]","noteIndex":0},"citationItems":[{"id":252,"uris":["http://zotero.org/users/10236804/items/XSQTTPPZ"],"itemData":{"id":252,"type":"article-journal","container-title":"Environmental Research","DOI":"10.1016/j.envres.2023.116705","ISSN":"0013-9351","language":"en","license":"https://www.elsevier.com/tdm/userlicense/1.0/","note":"publisher: Elsevier BV","page":"116705","source":"Crossref","title":"Association of maternal prenatal urinary fluoride levels with ADHD symptoms in childhood.","URL":"https://linkinghub.elsevier.com/retrieve/pii/S0013935123015098","volume":"235","author":[{"family":"Ibarluzea","given":"Jesús"},{"family":"Subiza-Pérez","given":"Mikel"},{"family":"Arregi","given":"Ane"},{"family":"Molinuevo","given":"Amaia"},{"family":"Arranz-Freijo","given":"Enrique"},{"family":"Sánchez-de Miguel","given":"Manuel"},{"family":"Jiménez","given":"Ana"},{"family":"Andiarena","given":"Ainara"},{"family":"Santa-Marina","given":"Loreto"},{"family":"Lertxundi","given":"Aitana"}],"accessed":{"date-parts":[["2025",5,1]]},"issued":{"date-parts":[["2023",10]]}}}],"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[39]</w:t>
            </w:r>
            <w:r w:rsidRPr="002873D0">
              <w:rPr>
                <w:rFonts w:ascii="Cambria" w:hAnsi="Cambria"/>
                <w:b w:val="0"/>
                <w:color w:val="auto"/>
                <w:sz w:val="22"/>
                <w:lang w:val="en-GB"/>
              </w:rPr>
              <w:fldChar w:fldCharType="end"/>
            </w:r>
          </w:p>
        </w:tc>
      </w:tr>
      <w:tr w:rsidR="00992C99" w:rsidRPr="002873D0" w14:paraId="11CE08F1" w14:textId="77777777" w:rsidTr="00C93C33">
        <w:trPr>
          <w:trHeight w:val="4118"/>
        </w:trPr>
        <w:tc>
          <w:tcPr>
            <w:tcW w:w="567" w:type="dxa"/>
          </w:tcPr>
          <w:p w14:paraId="5D7BF52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4</w:t>
            </w:r>
          </w:p>
        </w:tc>
        <w:tc>
          <w:tcPr>
            <w:tcW w:w="1134" w:type="dxa"/>
          </w:tcPr>
          <w:p w14:paraId="7779E9E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large-scale longitudinal cohort study with cross-sectional and longitudinal analytical components</w:t>
            </w:r>
          </w:p>
        </w:tc>
        <w:tc>
          <w:tcPr>
            <w:tcW w:w="851" w:type="dxa"/>
          </w:tcPr>
          <w:p w14:paraId="1B0E6CD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w:t>
            </w:r>
          </w:p>
        </w:tc>
        <w:tc>
          <w:tcPr>
            <w:tcW w:w="823" w:type="dxa"/>
          </w:tcPr>
          <w:p w14:paraId="1371BFE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2024</w:t>
            </w:r>
          </w:p>
        </w:tc>
        <w:tc>
          <w:tcPr>
            <w:tcW w:w="988" w:type="dxa"/>
          </w:tcPr>
          <w:p w14:paraId="0DDB03C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Adults aged 60 and above</w:t>
            </w:r>
          </w:p>
          <w:p w14:paraId="262D293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4,401 – longitudinal study</w:t>
            </w:r>
          </w:p>
          <w:p w14:paraId="2D91D0E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3,177 – cross-sectional study</w:t>
            </w:r>
          </w:p>
        </w:tc>
        <w:tc>
          <w:tcPr>
            <w:tcW w:w="1392" w:type="dxa"/>
          </w:tcPr>
          <w:p w14:paraId="4E073BA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Comparison of cognitive function and mild cognitive impairment (MCI) in low-risk vs high-risk living environments</w:t>
            </w:r>
          </w:p>
        </w:tc>
        <w:tc>
          <w:tcPr>
            <w:tcW w:w="1275" w:type="dxa"/>
          </w:tcPr>
          <w:p w14:paraId="06884F7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Low-risk environments associated with higher cognitive scores and reduced MCI risk</w:t>
            </w:r>
          </w:p>
        </w:tc>
        <w:tc>
          <w:tcPr>
            <w:tcW w:w="1448" w:type="dxa"/>
          </w:tcPr>
          <w:p w14:paraId="365C200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n/a</w:t>
            </w:r>
          </w:p>
        </w:tc>
        <w:tc>
          <w:tcPr>
            <w:tcW w:w="1587" w:type="dxa"/>
          </w:tcPr>
          <w:p w14:paraId="07458A0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Luo et al. 2024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{"citationID":"CF9WMBds","properties":{"formattedCitation":"[40]","plainCitation":"[40]","noteIndex":0},"citationItems":[{"id":259,"uris":["http://zotero.org/users/10236804/items/Z8P9DQ3Y"],"itemData":{"id":259,"type":"article-journal","container-title":"BMC Public Health","DOI":"10.1186/s12889-024-20197-2","ISSN":"1471-2458","issue":"1","language":"en","license":"https://creativecommons.org/licenses/by-nc-nd/4.0","note":"publisher: Springer Science and Business Media LLC","source":"Crossref","title":"The impact of living environmental factors on cognitive function and mild cognitive impairment: evidence from the Chinese elderly population","title-short":"The impact of living environmental factors on cognitive function and mild cognitive impairment","URL":"https://bmcpublichealth.biomedcentral.com/articles/10.1186/s12889-024-20197-2","volume":"24","author":[{"family":"Luo","given":"Huanhuan"},{"family":"Hu","given":"Huixiu"},{"family":"Zheng","given":"Zitian"},{"family":"Sun","given":"Chao"},{"family":"Yu","given":"Kang"}],"accessed":{"date-parts":[["2025",5,1]]},"issued":{"date-parts":[["2024",10,14]]}}}],"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[40]</w:t>
            </w:r>
            <w:r w:rsidRPr="002873D0">
              <w:rPr>
                <w:rFonts w:ascii="Cambria" w:hAnsi="Cambria"/>
                <w:b w:val="0"/>
                <w:color w:val="auto"/>
                <w:sz w:val="22"/>
                <w:lang w:val="en-GB"/>
              </w:rPr>
              <w:fldChar w:fldCharType="end"/>
            </w:r>
          </w:p>
        </w:tc>
      </w:tr>
      <w:tr w:rsidR="00992C99" w:rsidRPr="002873D0" w14:paraId="680D78F7" w14:textId="77777777" w:rsidTr="00C93C33">
        <w:trPr>
          <w:trHeight w:val="2905"/>
        </w:trPr>
        <w:tc>
          <w:tcPr>
            <w:tcW w:w="567" w:type="dxa"/>
          </w:tcPr>
          <w:p w14:paraId="2839AE7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5</w:t>
            </w:r>
          </w:p>
        </w:tc>
        <w:tc>
          <w:tcPr>
            <w:tcW w:w="1134" w:type="dxa"/>
          </w:tcPr>
          <w:p w14:paraId="47E6C57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Retrospective cohort design with an observational follow-up</w:t>
            </w:r>
          </w:p>
        </w:tc>
        <w:tc>
          <w:tcPr>
            <w:tcW w:w="851" w:type="dxa"/>
          </w:tcPr>
          <w:p w14:paraId="7B31ABC8"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w:t>
            </w:r>
          </w:p>
        </w:tc>
        <w:tc>
          <w:tcPr>
            <w:tcW w:w="823" w:type="dxa"/>
          </w:tcPr>
          <w:p w14:paraId="3B982426"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2013</w:t>
            </w:r>
          </w:p>
        </w:tc>
        <w:tc>
          <w:tcPr>
            <w:tcW w:w="988" w:type="dxa"/>
          </w:tcPr>
          <w:p w14:paraId="56AF8F7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321 children aged 6 to 12 years</w:t>
            </w:r>
          </w:p>
        </w:tc>
        <w:tc>
          <w:tcPr>
            <w:tcW w:w="1392" w:type="dxa"/>
          </w:tcPr>
          <w:p w14:paraId="281F6A8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PFOA-contaminated water exposure on executive function, ADHD-like and behavioural problems</w:t>
            </w:r>
          </w:p>
        </w:tc>
        <w:tc>
          <w:tcPr>
            <w:tcW w:w="1275" w:type="dxa"/>
          </w:tcPr>
          <w:p w14:paraId="58475E0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Sex-dependent cognitive effects</w:t>
            </w:r>
          </w:p>
        </w:tc>
        <w:tc>
          <w:tcPr>
            <w:tcW w:w="1448" w:type="dxa"/>
          </w:tcPr>
          <w:p w14:paraId="44EF9606"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Serum perfluorooctanoate (PFOA)</w:t>
            </w:r>
          </w:p>
        </w:tc>
        <w:tc>
          <w:tcPr>
            <w:tcW w:w="1587" w:type="dxa"/>
          </w:tcPr>
          <w:p w14:paraId="365B4FB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Stein et al. 2014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{"citationID":"d6NFdvdt","properties":{"formattedCitation":"[41]","plainCitation":"[41]","noteIndex":0},"citationItems":[{"id":263,"uris":["http://zotero.org/users/10236804/items/4SMDTL9H"],"itemData":{"id":263,"type":"article-journal","abstract":"AbstractBackgroundIn toxicology studies, perfluorinated compounds affect fetal growth, development, viability, and postnatal growth. There are limited epidemiologic studies on child development.MethodsWe recruited and evaluated 321 children who participated in the C8 Health Project, a 2005–06 survey in a mid‐Ohio Valley community highly exposed to perfluorooctanoate (PFOA) through contaminated drinking water. We examined associations between measured childhood PFOA serum concentration and mother and teacher reports of executive function (Behaviour Rating Inventory of Executive Function), attention deficit hyperactivity disorder (ADHD)‐like behaviour (Conner's ADHD Diagnostic and Statistical Manual of Mental Disorders IV Scales), and behavioural problems (Behaviour Assessment System for Children) assessed 3 to 4 years later at ages 6–12 years.ResultsOverall, neither reports from mothers nor teachers provided clear associations between exposure and child behaviour. Mother reports, however, did suggest favourable associations between exposure and behaviour among boys and adverse associations among girls. On the composite scale from the Behaviour Rating Inventory of Executive Function (n = 318), PFOA exposure had a favourable association among boys (highest vs. lowest quartile β = −6.39; 95% confidence interval [CI] −11.43, −1.35) and an adverse association among girls (highest vs. lowest quartile β = 4.42; 95% CI −0.03, 8.87; interaction P = 0.01). Teacher reports (n = 189) replicated some, but not all of the sex interactions observed in mothers' reports.ConclusionsAggregate results did not suggest adverse effects of PFOA on behaviour, but sex‐specific results raise the possibility of differing patterns by sex. Results are not consistent between mothers' and teachers' reports. Effect modification by sex may warrant further investigation.","container-title":"Paediatric and Perinatal Epidemiology","DOI":"10.1111/ppe.12097","ISSN":"0269-5022, 1365-3016","issue":"2","journalAbbreviation":"Paediatric Perinatal Epid","language":"en","license":"http://onlinelibrary.wiley.com/termsAndConditions#vor","note":"publisher: Wiley","page":"146-156","source":"Crossref","title":"Perfluorooctanoate Exposure in a Highly Exposed Community and Parent and Teacher Reports of Behaviour in 6–12‐Year‐Old Children","URL":"https://onlinelibrary.wiley.com/doi/10.1111/ppe.12097","volume":"28","author":[{"family":"Stein","given":"Cheryl R."},{"family":"Savitz","given":"David A."},{"family":"Bellinger","given":"David C."}],"accessed":{"date-parts":[["2025",5,1]]},"issued":{"date-parts":[["2014",3]]}}}],"schema":"https://github.com/citation-style-language/schema/raw/master/csl-citation.json"}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[41]</w:t>
            </w:r>
            <w:r w:rsidRPr="002873D0">
              <w:rPr>
                <w:rFonts w:ascii="Cambria" w:hAnsi="Cambria"/>
                <w:b w:val="0"/>
                <w:color w:val="auto"/>
                <w:sz w:val="22"/>
                <w:lang w:val="en-GB"/>
              </w:rPr>
              <w:fldChar w:fldCharType="end"/>
            </w:r>
          </w:p>
        </w:tc>
      </w:tr>
      <w:tr w:rsidR="00992C99" w:rsidRPr="002873D0" w14:paraId="146739D8" w14:textId="77777777" w:rsidTr="00C93C33">
        <w:trPr>
          <w:trHeight w:val="1826"/>
        </w:trPr>
        <w:tc>
          <w:tcPr>
            <w:tcW w:w="567" w:type="dxa"/>
          </w:tcPr>
          <w:p w14:paraId="67E68DF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lastRenderedPageBreak/>
              <w:t>6</w:t>
            </w:r>
          </w:p>
        </w:tc>
        <w:tc>
          <w:tcPr>
            <w:tcW w:w="1134" w:type="dxa"/>
          </w:tcPr>
          <w:p w14:paraId="12E2498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Retrospective cohort study</w:t>
            </w:r>
          </w:p>
        </w:tc>
        <w:tc>
          <w:tcPr>
            <w:tcW w:w="851" w:type="dxa"/>
          </w:tcPr>
          <w:p w14:paraId="0E2C7ED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w:t>
            </w:r>
          </w:p>
        </w:tc>
        <w:tc>
          <w:tcPr>
            <w:tcW w:w="823" w:type="dxa"/>
          </w:tcPr>
          <w:p w14:paraId="5C0BB98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2023</w:t>
            </w:r>
          </w:p>
        </w:tc>
        <w:tc>
          <w:tcPr>
            <w:tcW w:w="988" w:type="dxa"/>
          </w:tcPr>
          <w:p w14:paraId="48DA4B2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616 maternal-child pairs</w:t>
            </w:r>
          </w:p>
        </w:tc>
        <w:tc>
          <w:tcPr>
            <w:tcW w:w="1392" w:type="dxa"/>
          </w:tcPr>
          <w:p w14:paraId="798338A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Maternal fluoridated water exposure</w:t>
            </w:r>
          </w:p>
        </w:tc>
        <w:tc>
          <w:tcPr>
            <w:tcW w:w="1275" w:type="dxa"/>
          </w:tcPr>
          <w:p w14:paraId="3A21D5D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Poorer executive function in girls</w:t>
            </w:r>
          </w:p>
        </w:tc>
        <w:tc>
          <w:tcPr>
            <w:tcW w:w="1448" w:type="dxa"/>
          </w:tcPr>
          <w:p w14:paraId="3F16156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Plasma fluoride</w:t>
            </w:r>
          </w:p>
        </w:tc>
        <w:tc>
          <w:tcPr>
            <w:tcW w:w="1587" w:type="dxa"/>
          </w:tcPr>
          <w:p w14:paraId="4D3F673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Dewey et al. 2023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{"citationID":"4bgMtO1n","properties":{"formattedCitation":"[42]","plainCitation":"[42]","noteIndex":0},"citationItems":[{"id":261,"uris":["http://zotero.org/users/10236804/items/NZQGIWLA"],"itemData":{"id":261,"type":"article-journal","container-title":"Science of The Total Environment","DOI":"10.1016/j.scitotenv.2023.164322","ISSN":"0048-9697","language":"en","license":"https://www.elsevier.com/tdm/userlicense/1.0/","note":"publisher: Elsevier BV","page":"164322","source":"Crossref","title":"Fluoride exposure during pregnancy from a community water supply is associated with executive function in preschool children: A prospective ecological cohort study","title-short":"Fluoride exposure during pregnancy from a community water supply is associated with executive function in preschool children","URL":"https://linkinghub.elsevier.com/retrieve/pii/S0048969723029431","volume":"891","author":[{"family":"Dewey","given":"Deborah"},{"family":"England-Mason","given":"Gillian"},{"family":"Ntanda","given":"Henry"},{"family":"Deane","given":"Andrea J."},{"family":"Jain","given":"Mandakini"},{"family":"Barnieh","given":"Nadia"},{"family":"Giesbrecht","given":"Gerald F."},{"family":"Letourneau","given":"Nicole"}],"accessed":{"date-parts":[["2025",5,1]]},"issued":{"date-parts":[["2023",9]]}}}],"schema":"https://github.com/citation-style-language/schema/raw/master/csl-citation.json"}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[42]</w:t>
            </w:r>
            <w:r w:rsidRPr="002873D0">
              <w:rPr>
                <w:rFonts w:ascii="Cambria" w:hAnsi="Cambria"/>
                <w:b w:val="0"/>
                <w:color w:val="auto"/>
                <w:sz w:val="22"/>
                <w:lang w:val="en-GB"/>
              </w:rPr>
              <w:fldChar w:fldCharType="end"/>
            </w:r>
          </w:p>
        </w:tc>
      </w:tr>
      <w:tr w:rsidR="00992C99" w:rsidRPr="002873D0" w14:paraId="17C5052B" w14:textId="77777777" w:rsidTr="00C93C33">
        <w:trPr>
          <w:trHeight w:val="3371"/>
        </w:trPr>
        <w:tc>
          <w:tcPr>
            <w:tcW w:w="567" w:type="dxa"/>
          </w:tcPr>
          <w:p w14:paraId="5722C1E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7</w:t>
            </w:r>
          </w:p>
        </w:tc>
        <w:tc>
          <w:tcPr>
            <w:tcW w:w="1134" w:type="dxa"/>
          </w:tcPr>
          <w:p w14:paraId="6B766C4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Large-scale population-based retrospective cohort study</w:t>
            </w:r>
          </w:p>
        </w:tc>
        <w:tc>
          <w:tcPr>
            <w:tcW w:w="851" w:type="dxa"/>
          </w:tcPr>
          <w:p w14:paraId="3923B43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w:t>
            </w:r>
          </w:p>
        </w:tc>
        <w:tc>
          <w:tcPr>
            <w:tcW w:w="823" w:type="dxa"/>
          </w:tcPr>
          <w:p w14:paraId="29C530E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2020</w:t>
            </w:r>
          </w:p>
        </w:tc>
        <w:tc>
          <w:tcPr>
            <w:tcW w:w="988" w:type="dxa"/>
          </w:tcPr>
          <w:p w14:paraId="0CF17A4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643,401 children born in Denmark between 1992-2007 whose parents were born in Denmark</w:t>
            </w:r>
          </w:p>
        </w:tc>
        <w:tc>
          <w:tcPr>
            <w:tcW w:w="1392" w:type="dxa"/>
          </w:tcPr>
          <w:p w14:paraId="26ED2C18" w14:textId="77777777" w:rsidR="00992C99" w:rsidRPr="002873D0" w:rsidRDefault="00992C99" w:rsidP="006F1E51">
            <w:pPr>
              <w:spacing w:line="360" w:lineRule="auto"/>
              <w:rPr>
                <w:rFonts w:ascii="Cambria" w:hAnsi="Cambria"/>
                <w:snapToGrid w:val="0"/>
                <w:sz w:val="22"/>
                <w:szCs w:val="22"/>
                <w:lang w:bidi="en-US"/>
              </w:rPr>
            </w:pPr>
            <w:r w:rsidRPr="002873D0">
              <w:rPr>
                <w:rFonts w:ascii="Cambria" w:hAnsi="Cambria"/>
                <w:sz w:val="22"/>
              </w:rPr>
              <w:t>Childhood manganese in water (0-5 years)</w:t>
            </w:r>
          </w:p>
        </w:tc>
        <w:tc>
          <w:tcPr>
            <w:tcW w:w="1275" w:type="dxa"/>
          </w:tcPr>
          <w:p w14:paraId="73C16BE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Increased ADHD-inattentive risk</w:t>
            </w:r>
          </w:p>
        </w:tc>
        <w:tc>
          <w:tcPr>
            <w:tcW w:w="1448" w:type="dxa"/>
          </w:tcPr>
          <w:p w14:paraId="5E569A2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n/a</w:t>
            </w:r>
          </w:p>
        </w:tc>
        <w:tc>
          <w:tcPr>
            <w:tcW w:w="1587" w:type="dxa"/>
          </w:tcPr>
          <w:p w14:paraId="3B64740E"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Schullehner</w:t>
            </w:r>
            <w:proofErr w:type="spellEnd"/>
            <w:r w:rsidRPr="002873D0">
              <w:rPr>
                <w:rFonts w:ascii="Cambria" w:hAnsi="Cambria"/>
                <w:b w:val="0"/>
                <w:color w:val="auto"/>
                <w:sz w:val="22"/>
                <w:lang w:val="en-GB"/>
              </w:rPr>
              <w:t xml:space="preserve"> et al. 2020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{"citationID":"iJxJZMq8","properties":{"formattedCitation":"[43]","plainCitation":"[43]","noteIndex":0},"citationItems":[{"id":258,"uris":["http://zotero.org/users/10236804/items/J79WRBDL"],"itemData":{"id":258,"type":"article-journal","container-title":"Environmental Health Perspectives","DOI":"10.1289/ehp6391","ISSN":"0091-6765, 1552-9924","issue":"9","journalAbbreviation":"Environ Health Perspect","language":"en","note":"publisher: Environmental Health Perspectives","source":"Crossref","title":"Exposure to Manganese in Drinking Water during Childhood and Association with Attention-Deficit Hyperactivity Disorder: A Nationwide Cohort Study","title-short":"Exposure to Manganese in Drinking Water during Childhood and Association with Attention-Deficit Hyperactivity Disorder","URL":"https://ehp.niehs.nih.gov/doi/10.1289/EHP6391","volume":"128","author":[{"family":"Schullehner","given":"Jörg"},{"family":"Thygesen","given":"Malene"},{"family":"Kristiansen","given":"Søren Munch"},{"family":"Hansen","given":"Birgitte"},{"family":"Pedersen","given":"Carsten Bøcker"},{"family":"Dalsgaard","given":"Søren"}],"accessed":{"date-parts":[["2025",5,1]]},"issued":{"date-parts":[["2020",9]]}}}],"schema":"https://github.com/citation-style-language/schema/raw/master/csl-citation.json"}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[43]</w:t>
            </w:r>
            <w:r w:rsidRPr="002873D0">
              <w:rPr>
                <w:rFonts w:ascii="Cambria" w:hAnsi="Cambria"/>
                <w:b w:val="0"/>
                <w:color w:val="auto"/>
                <w:sz w:val="22"/>
                <w:lang w:val="en-GB"/>
              </w:rPr>
              <w:fldChar w:fldCharType="end"/>
            </w:r>
          </w:p>
        </w:tc>
      </w:tr>
      <w:tr w:rsidR="00992C99" w:rsidRPr="002873D0" w14:paraId="5CB1AC7A" w14:textId="77777777" w:rsidTr="00C93C33">
        <w:trPr>
          <w:trHeight w:val="2673"/>
        </w:trPr>
        <w:tc>
          <w:tcPr>
            <w:tcW w:w="567" w:type="dxa"/>
          </w:tcPr>
          <w:p w14:paraId="7C64126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8</w:t>
            </w:r>
          </w:p>
        </w:tc>
        <w:tc>
          <w:tcPr>
            <w:tcW w:w="1134" w:type="dxa"/>
          </w:tcPr>
          <w:p w14:paraId="26237DD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Retrospective cohort study</w:t>
            </w:r>
          </w:p>
        </w:tc>
        <w:tc>
          <w:tcPr>
            <w:tcW w:w="851" w:type="dxa"/>
          </w:tcPr>
          <w:p w14:paraId="3AA0962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Moderate</w:t>
            </w:r>
          </w:p>
        </w:tc>
        <w:tc>
          <w:tcPr>
            <w:tcW w:w="823" w:type="dxa"/>
          </w:tcPr>
          <w:p w14:paraId="3DADFEB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2020</w:t>
            </w:r>
          </w:p>
        </w:tc>
        <w:tc>
          <w:tcPr>
            <w:tcW w:w="988" w:type="dxa"/>
          </w:tcPr>
          <w:p w14:paraId="57124996"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618 individuals with median age 40 - 41</w:t>
            </w:r>
          </w:p>
        </w:tc>
        <w:tc>
          <w:tcPr>
            <w:tcW w:w="1392" w:type="dxa"/>
          </w:tcPr>
          <w:p w14:paraId="739DF0C8" w14:textId="77777777" w:rsidR="00992C99" w:rsidRPr="002873D0" w:rsidRDefault="00992C99" w:rsidP="006F1E51">
            <w:pPr>
              <w:spacing w:line="360" w:lineRule="auto"/>
              <w:rPr>
                <w:rFonts w:ascii="Cambria" w:hAnsi="Cambria"/>
                <w:sz w:val="22"/>
              </w:rPr>
            </w:pPr>
            <w:r w:rsidRPr="002873D0">
              <w:rPr>
                <w:rFonts w:ascii="Cambria" w:hAnsi="Cambria"/>
                <w:sz w:val="22"/>
              </w:rPr>
              <w:t xml:space="preserve">Prenatal/early perchloroethylene (PCE)-contaminated water </w:t>
            </w:r>
          </w:p>
        </w:tc>
        <w:tc>
          <w:tcPr>
            <w:tcW w:w="1275" w:type="dxa"/>
          </w:tcPr>
          <w:p w14:paraId="0D2B1B1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Increased drug use disorder criteria</w:t>
            </w:r>
          </w:p>
        </w:tc>
        <w:tc>
          <w:tcPr>
            <w:tcW w:w="1448" w:type="dxa"/>
          </w:tcPr>
          <w:p w14:paraId="49BA697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n/a</w:t>
            </w:r>
          </w:p>
        </w:tc>
        <w:tc>
          <w:tcPr>
            <w:tcW w:w="1587" w:type="dxa"/>
          </w:tcPr>
          <w:p w14:paraId="0F6CD19A"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Aschengrau</w:t>
            </w:r>
            <w:proofErr w:type="spellEnd"/>
            <w:r w:rsidRPr="002873D0">
              <w:rPr>
                <w:rFonts w:ascii="Cambria" w:hAnsi="Cambria"/>
                <w:b w:val="0"/>
                <w:color w:val="auto"/>
                <w:sz w:val="22"/>
                <w:lang w:val="en-GB"/>
              </w:rPr>
              <w:t xml:space="preserve"> et al. 2020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{"citationID":"bTYAbFBk","properties":{"formattedCitation":"[44]","plainCitation":"[44]","noteIndex":0},"citationItems":[{"id":257,"uris":["http://zotero.org/users/10236804/items/XSTUHUC5"],"itemData":{"id":257,"type":"article-journal","abstract":"Abstract                Background                Many studies of adults with occupational exposure to solvents such as tetrachloroethylene (PCE) have shown adverse effects on cognition, mood and behavioral problems. Much less is known about neurotoxic effects in early life at lower exposure levels seen in community settings. We recently reported that illicit drug use was more frequent among adults from Cape Cod, Massachusetts who were exposed to PCE-contaminated drinking water during gestation and early childhood than their unexposed counterparts. Using newly collected data from this population-based retrospective cohort study, the current analysis examines whether early life PCE exposure is also associated with drug use disorder over the life course.                              Methods                Three-hundred and sixty-three subjects with prenatal and early childhood PCE exposure and 255 unexposed subjects were studied. These individuals (median age: 40–41 years) completed self-administered questionnaires on the eleven established diagnostic criteria for drug use disorder and confounding variables. A validated leaching and transport model was used to estimate exposure to PCE-contaminated water.                              Results                Overall, 23.3% of subjects reported having at least one criterion for drug use disorder over their lifetime. Early life PCE exposure was associated with a modest increase in the lifetime presence of one or more diagnostic criteria for drug use disorder (adjusted RR: 1.4, 95% CI: 1.0–1.8). Compared to unexposed subjects, PCE-exposed subjects were more likely to report having most diagnostic criteria of drug use disorder, including neglecting major roles due to drug use, physical and psychological problems related to drug use, and giving up activities due to drug use. No dose-response relationships were observed with increasing levels of PCE exposure.                              Conclusions                These results suggest that exposure to PCE-contaminated drinking water during early life modestly increases the risk of developing diagnostic criteria for drug use disorder later in life. Because this study has several limitations, these findings should be confirmed in follow-up investigations of other exposed populations with more diverse racial and socioeconomic characteristics.","container-title":"Environmental Health","DOI":"10.1186/s12940-020-00638-2","ISSN":"1476-069X","issue":"1","journalAbbreviation":"Environ Health","language":"en","license":"https://creativecommons.org/licenses/by/4.0","note":"publisher: Springer Science and Business Media LLC","source":"Crossref","title":"Drug use disorder following early life exposure to tetrachloroethylene (PCE)-contaminated drinking water: a retrospective cohort study","title-short":"Drug use disorder following early life exposure to tetrachloroethylene (PCE)-contaminated drinking water","URL":"https://ehjournal.biomedcentral.com/articles/10.1186/s12940-020-00638-2","volume":"19","author":[{"family":"Aschengrau","given":"Ann"},{"family":"Grippo","given":"Alexandra"},{"family":"Winter","given":"Michael R."},{"family":"Shea","given":"Margaret G."},{"family":"White","given":"Roberta F."},{"family":"Saitz","given":"Richard"}],"accessed":{"date-parts":[["2025",5,1]]},"issued":{"date-parts":[["2020",12]]}}}],"schema":"https://github.com/citation-style-language/schema/raw/master/csl-citation.json"}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[44]</w:t>
            </w:r>
            <w:r w:rsidRPr="002873D0">
              <w:rPr>
                <w:rFonts w:ascii="Cambria" w:hAnsi="Cambria"/>
                <w:b w:val="0"/>
                <w:color w:val="auto"/>
                <w:sz w:val="22"/>
                <w:lang w:val="en-GB"/>
              </w:rPr>
              <w:fldChar w:fldCharType="end"/>
            </w:r>
          </w:p>
        </w:tc>
      </w:tr>
      <w:tr w:rsidR="00992C99" w:rsidRPr="002873D0" w14:paraId="0532C845" w14:textId="77777777" w:rsidTr="00C93C33">
        <w:trPr>
          <w:trHeight w:val="4900"/>
        </w:trPr>
        <w:tc>
          <w:tcPr>
            <w:tcW w:w="567" w:type="dxa"/>
          </w:tcPr>
          <w:p w14:paraId="2732B29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lastRenderedPageBreak/>
              <w:t>9</w:t>
            </w:r>
          </w:p>
        </w:tc>
        <w:tc>
          <w:tcPr>
            <w:tcW w:w="1134" w:type="dxa"/>
          </w:tcPr>
          <w:p w14:paraId="5EFB194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Cross-sectional design using secondary data analysis</w:t>
            </w:r>
          </w:p>
        </w:tc>
        <w:tc>
          <w:tcPr>
            <w:tcW w:w="851" w:type="dxa"/>
          </w:tcPr>
          <w:p w14:paraId="6204EC3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 to moderate</w:t>
            </w:r>
          </w:p>
        </w:tc>
        <w:tc>
          <w:tcPr>
            <w:tcW w:w="823" w:type="dxa"/>
          </w:tcPr>
          <w:p w14:paraId="71E6E1C1"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2022</w:t>
            </w:r>
          </w:p>
        </w:tc>
        <w:tc>
          <w:tcPr>
            <w:tcW w:w="988" w:type="dxa"/>
          </w:tcPr>
          <w:p w14:paraId="416F98E8"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4,951 adults aged 60 and above</w:t>
            </w:r>
          </w:p>
        </w:tc>
        <w:tc>
          <w:tcPr>
            <w:tcW w:w="1392" w:type="dxa"/>
          </w:tcPr>
          <w:p w14:paraId="7149D66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Drinking water and cognitive function</w:t>
            </w:r>
          </w:p>
        </w:tc>
        <w:tc>
          <w:tcPr>
            <w:tcW w:w="1275" w:type="dxa"/>
          </w:tcPr>
          <w:p w14:paraId="38B3B46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Better cognition and memory with high quality drinking water</w:t>
            </w:r>
          </w:p>
        </w:tc>
        <w:tc>
          <w:tcPr>
            <w:tcW w:w="1448" w:type="dxa"/>
          </w:tcPr>
          <w:p w14:paraId="611D35E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Serum triglycerides, serum cholesterol (High-Density Lipoprotein, Low-Density Lipoprotein, Total Cholesterol)</w:t>
            </w:r>
          </w:p>
        </w:tc>
        <w:tc>
          <w:tcPr>
            <w:tcW w:w="1587" w:type="dxa"/>
          </w:tcPr>
          <w:p w14:paraId="38AAA2C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Pan et al. 2022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{"citationID":"T48br4zU","properties":{"formattedCitation":"[45]","plainCitation":"[45]","noteIndex":0},"citationItems":[{"id":262,"uris":["http://zotero.org/users/10236804/items/PKFGUS2J"],"itemData":{"id":262,"type":"article-journal","abstract":"Abstract                Background                The current study aimed to examine the association between drinking water quality and cognitive function and to identify the direct and indirect effects of drinking water quality and dyslipidemia on cognitive function among older adults in China.                              Methods                Primary data for the study were selected from China Health and Retirement Longitudinal Study (CHARLS, 2015) and 4,951 respondents aged 60 and above were included. Data on drinking water quality were selected from the 2015 prefectural water quality data from the Institute of Public and Environment Affairs in China and measured by the Blue City Water Quality Index. Dyslipidemia was measured by self-reported dyslipidemia diagnosis and lipid panel. Three composite measures of cognitive function included mental status, episodic memory, and global cognition. Mixed effects models were conducted to assess the associations between drinking water quality or dyslipidemia and cognitive function. The mediation effects of dyslipidemia were examined by path analyses.                              Results                Exposure to high quality drinking water was significantly associated with higher scores in mental status, episodic memory, and global cognition (β = 0.34, p &lt; 0.001 for mental status; β = 0.24, p &lt; 0.05 for episodic memory; β = 0.58, p &lt; 0.01 for global cognition). Respondents who reported dyslipidemia diagnosis had higher scores in the three composite measures of cognitive function (β = 0.39, p &lt; 0.001 for mental status; β = 0.27 p &lt; 0.05 for episodic memory; β = 0.66, p &lt; 0.001 for global cognition). An elevated blood triglycerides was only associated with higher scores in mental status (β = 0.21, p &lt; 0.05). Self-reported dyslipidemia diagnosis was a suppressor, which increased the magnitude of the direct effect of drinking water quality on mental status, episodic memory, and global cognition.                              Conclusion                Drinking water quality was associated with cognitive function in older Chinese and the relationship was independent of natural or socioeconomic variations in neighborhood environments. Improving drinking water quality could be a potential public health effort to delay the onset of cognitive impairment and prevent the dementia pandemic in older people.","container-title":"BMC Geriatrics","DOI":"10.1186/s12877-022-03375-y","ISSN":"1471-2318","issue":"1","journalAbbreviation":"BMC Geriatr","language":"en","license":"https://creativecommons.org/licenses/by/4.0","note":"publisher: Springer Science and Business Media LLC","source":"Crossref","title":"Associations among drinking water quality, dyslipidemia, and cognitive function for older adults in China: evidence from CHARLS","title-short":"Associations among drinking water quality, dyslipidemia, and cognitive function for older adults in China","URL":"https://bmcgeriatr.biomedcentral.com/articles/10.1186/s12877-022-03375-y","volume":"22","author":[{"family":"Pan","given":"Xi"},{"family":"Luo","given":"Ye"},{"family":"Zhao","given":"Dandan"},{"family":"Zhang","given":"Lingling"}],"accessed":{"date-parts":[["2025",5,1]]},"issued":{"date-parts":[["2022",8,18]]}}}],"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[45]</w:t>
            </w:r>
            <w:r w:rsidRPr="002873D0">
              <w:rPr>
                <w:rFonts w:ascii="Cambria" w:hAnsi="Cambria"/>
                <w:b w:val="0"/>
                <w:color w:val="auto"/>
                <w:sz w:val="22"/>
                <w:lang w:val="en-GB"/>
              </w:rPr>
              <w:fldChar w:fldCharType="end"/>
            </w:r>
          </w:p>
        </w:tc>
      </w:tr>
      <w:tr w:rsidR="00992C99" w:rsidRPr="002873D0" w14:paraId="0D4D586C" w14:textId="77777777" w:rsidTr="00C93C33">
        <w:trPr>
          <w:trHeight w:val="3771"/>
        </w:trPr>
        <w:tc>
          <w:tcPr>
            <w:tcW w:w="567" w:type="dxa"/>
          </w:tcPr>
          <w:p w14:paraId="08399FB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10</w:t>
            </w:r>
          </w:p>
        </w:tc>
        <w:tc>
          <w:tcPr>
            <w:tcW w:w="1134" w:type="dxa"/>
          </w:tcPr>
          <w:p w14:paraId="25B1D0A1"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Cross-sectional analysis of nationally representative survey data</w:t>
            </w:r>
          </w:p>
        </w:tc>
        <w:tc>
          <w:tcPr>
            <w:tcW w:w="851" w:type="dxa"/>
          </w:tcPr>
          <w:p w14:paraId="319D887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 to moderate</w:t>
            </w:r>
          </w:p>
        </w:tc>
        <w:tc>
          <w:tcPr>
            <w:tcW w:w="823" w:type="dxa"/>
          </w:tcPr>
          <w:p w14:paraId="0388AD6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2017</w:t>
            </w:r>
          </w:p>
        </w:tc>
        <w:tc>
          <w:tcPr>
            <w:tcW w:w="988" w:type="dxa"/>
          </w:tcPr>
          <w:p w14:paraId="2D71D59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2,221 children aged 3 to 12</w:t>
            </w:r>
          </w:p>
        </w:tc>
        <w:tc>
          <w:tcPr>
            <w:tcW w:w="1392" w:type="dxa"/>
          </w:tcPr>
          <w:p w14:paraId="031ABA2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Fluoride exposure measures</w:t>
            </w:r>
          </w:p>
        </w:tc>
        <w:tc>
          <w:tcPr>
            <w:tcW w:w="1275" w:type="dxa"/>
          </w:tcPr>
          <w:p w14:paraId="3365010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No association with learning disabilities</w:t>
            </w:r>
          </w:p>
        </w:tc>
        <w:tc>
          <w:tcPr>
            <w:tcW w:w="1448" w:type="dxa"/>
          </w:tcPr>
          <w:p w14:paraId="44E62C1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Tap water fluoride concentration</w:t>
            </w:r>
          </w:p>
          <w:p w14:paraId="4D371D9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Urinary fluoride</w:t>
            </w:r>
          </w:p>
          <w:p w14:paraId="5677078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Creatinine-adjusted urinary fluoride</w:t>
            </w:r>
          </w:p>
          <w:p w14:paraId="2F682EB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Specific gravity-adjusted urinary fluoride</w:t>
            </w:r>
          </w:p>
        </w:tc>
        <w:tc>
          <w:tcPr>
            <w:tcW w:w="1587" w:type="dxa"/>
          </w:tcPr>
          <w:p w14:paraId="4AD5F60E"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Barberio</w:t>
            </w:r>
            <w:proofErr w:type="spellEnd"/>
            <w:r w:rsidRPr="002873D0">
              <w:rPr>
                <w:rFonts w:ascii="Cambria" w:hAnsi="Cambria"/>
                <w:b w:val="0"/>
                <w:color w:val="auto"/>
                <w:sz w:val="22"/>
                <w:lang w:val="en-GB"/>
              </w:rPr>
              <w:t xml:space="preserve"> et al. 2017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{"citationID":"LgVilYsC","properties":{"formattedCitation":"[46]","plainCitation":"[46]","noteIndex":0},"citationItems":[{"id":253,"uris":["http://zotero.org/users/10236804/items/5WSF266T"],"itemData":{"id":253,"type":"article-journal","container-title":"Canadian Journal of Public Health","DOI":"10.17269/cjph.108.5951","ISSN":"0008-4263, 1920-7476","issue":"3","journalAbbreviation":"Can J Public Health","language":"en","license":"http://www.springer.com/tdm","note":"publisher: Springer Science and Business Media LLC","page":"e229-e239","source":"Crossref","title":"Fluoride exposure and reported learning disability diagnosis among Canadian children: Implications for community water fluoridation","title-short":"Fluoride exposure and reported learning disability diagnosis among Canadian children","URL":"http://link.springer.com/10.17269/CJPH.108.5951","volume":"108","author":[{"family":"Barberio","given":"Amanda M."},{"family":"Quiñonez","given":"Carlos"},{"family":"Hosein","given":"F. Shaun"},{"family":"McLaren","given":"Lindsay"}],"accessed":{"date-parts":[["2025",5,1]]},"issued":{"date-parts":[["2017",5]]}}}],"schema":"https://github.com/citation-style-language/schema/raw/master/csl-citation.json"}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[46]</w:t>
            </w:r>
            <w:r w:rsidRPr="002873D0">
              <w:rPr>
                <w:rFonts w:ascii="Cambria" w:hAnsi="Cambria"/>
                <w:b w:val="0"/>
                <w:color w:val="auto"/>
                <w:sz w:val="22"/>
                <w:lang w:val="en-GB"/>
              </w:rPr>
              <w:fldChar w:fldCharType="end"/>
            </w:r>
          </w:p>
        </w:tc>
      </w:tr>
      <w:tr w:rsidR="00992C99" w:rsidRPr="002873D0" w14:paraId="4315A4BC" w14:textId="77777777" w:rsidTr="00C93C33">
        <w:trPr>
          <w:trHeight w:val="3754"/>
        </w:trPr>
        <w:tc>
          <w:tcPr>
            <w:tcW w:w="567" w:type="dxa"/>
          </w:tcPr>
          <w:p w14:paraId="6B45D8D6"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lastRenderedPageBreak/>
              <w:t>11</w:t>
            </w:r>
          </w:p>
        </w:tc>
        <w:tc>
          <w:tcPr>
            <w:tcW w:w="1134" w:type="dxa"/>
          </w:tcPr>
          <w:p w14:paraId="719C6D0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Observational cross-sectional design</w:t>
            </w:r>
          </w:p>
        </w:tc>
        <w:tc>
          <w:tcPr>
            <w:tcW w:w="851" w:type="dxa"/>
          </w:tcPr>
          <w:p w14:paraId="190F4C9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w:t>
            </w:r>
          </w:p>
        </w:tc>
        <w:tc>
          <w:tcPr>
            <w:tcW w:w="823" w:type="dxa"/>
          </w:tcPr>
          <w:p w14:paraId="7AF9BC07"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2014</w:t>
            </w:r>
          </w:p>
        </w:tc>
        <w:tc>
          <w:tcPr>
            <w:tcW w:w="988" w:type="dxa"/>
          </w:tcPr>
          <w:p w14:paraId="59AF58D2"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654 women aged 24 to 45</w:t>
            </w:r>
          </w:p>
        </w:tc>
        <w:tc>
          <w:tcPr>
            <w:tcW w:w="1392" w:type="dxa"/>
          </w:tcPr>
          <w:p w14:paraId="36EF48E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Arsenic level in drinking water</w:t>
            </w:r>
          </w:p>
        </w:tc>
        <w:tc>
          <w:tcPr>
            <w:tcW w:w="1275" w:type="dxa"/>
          </w:tcPr>
          <w:p w14:paraId="14CDA7B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Chronic exposure to low levels of arsenic associated with neurobehavioral symptoms</w:t>
            </w:r>
          </w:p>
        </w:tc>
        <w:tc>
          <w:tcPr>
            <w:tcW w:w="1448" w:type="dxa"/>
          </w:tcPr>
          <w:p w14:paraId="30A87F8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P-selectin, catecholamine, plasma epinephrine, norepinephrine, serotonin, dopamine</w:t>
            </w:r>
          </w:p>
        </w:tc>
        <w:tc>
          <w:tcPr>
            <w:tcW w:w="1587" w:type="dxa"/>
          </w:tcPr>
          <w:p w14:paraId="4B31730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Mukherjee et al. 2014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jQbPAyBi","properties":{"formattedCitation":"[47]","plainCitation":"[47]","noteIndex":0},"citationItems":[{"id":255,"uris":["http://zotero.org/users/10236804/items/BCCYCWRY"],"itemData":{"id":255,"type":"article-journal","container-title":"NeuroToxicology","DOI":"10.1016/j.neuro.2014.10.011","ISSN":"0161-813X","language":"en","license":"https://www.elsevier.com/tdm/userlicense/1.0/","note":"publisher: Elsevier BV","page":"159-167","source":"Crossref","title":"Platelet hyperactivity, neurobehavioral symptoms and depression among Indian women chronically exposed to low level of arsenic","URL":"https://linkinghub.elsevier.com/retrieve/pii/S0161813X14001818","volume":"45","author":[{"family":"Mukherjee","given":"Bidisha"},{"family":"Bindhani","given":"Banani"},{"family":"Saha","given":"Hirak"},{"family":"Sinha","given":"Dona"},{"family":"Ray","given":"Manas Ranjan"}],"accessed":{"date-parts":[["2025",5,1]]},"issued":{"date-parts":[["2014",12]]}}}],"schema":"https://github.com/citation-style-language/schema/raw/master/csl-citation.json"}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[47]</w:t>
            </w:r>
            <w:r w:rsidRPr="002873D0">
              <w:rPr>
                <w:rFonts w:ascii="Cambria" w:hAnsi="Cambria"/>
                <w:b w:val="0"/>
                <w:color w:val="auto"/>
                <w:sz w:val="22"/>
                <w:lang w:val="en-GB"/>
              </w:rPr>
              <w:fldChar w:fldCharType="end"/>
            </w:r>
          </w:p>
        </w:tc>
      </w:tr>
      <w:tr w:rsidR="00992C99" w:rsidRPr="002873D0" w14:paraId="1290BC8C" w14:textId="77777777" w:rsidTr="00C93C33">
        <w:trPr>
          <w:trHeight w:val="2141"/>
        </w:trPr>
        <w:tc>
          <w:tcPr>
            <w:tcW w:w="567" w:type="dxa"/>
          </w:tcPr>
          <w:p w14:paraId="305DA30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12</w:t>
            </w:r>
          </w:p>
        </w:tc>
        <w:tc>
          <w:tcPr>
            <w:tcW w:w="1134" w:type="dxa"/>
          </w:tcPr>
          <w:p w14:paraId="1345130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Cross-sectional study</w:t>
            </w:r>
          </w:p>
        </w:tc>
        <w:tc>
          <w:tcPr>
            <w:tcW w:w="851" w:type="dxa"/>
          </w:tcPr>
          <w:p w14:paraId="5BF6A258"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w:t>
            </w:r>
          </w:p>
        </w:tc>
        <w:tc>
          <w:tcPr>
            <w:tcW w:w="823" w:type="dxa"/>
          </w:tcPr>
          <w:p w14:paraId="1FBEDE6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2014</w:t>
            </w:r>
          </w:p>
        </w:tc>
        <w:tc>
          <w:tcPr>
            <w:tcW w:w="988" w:type="dxa"/>
          </w:tcPr>
          <w:p w14:paraId="7867572E"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375 children aged 6 to 13</w:t>
            </w:r>
          </w:p>
        </w:tc>
        <w:tc>
          <w:tcPr>
            <w:tcW w:w="1392" w:type="dxa"/>
          </w:tcPr>
          <w:p w14:paraId="2F887546"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Manganese in tap water</w:t>
            </w:r>
          </w:p>
        </w:tc>
        <w:tc>
          <w:tcPr>
            <w:tcW w:w="1275" w:type="dxa"/>
          </w:tcPr>
          <w:p w14:paraId="2107D81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Higher manganese exposure associated with poorer memory, attention, and motor function</w:t>
            </w:r>
          </w:p>
        </w:tc>
        <w:tc>
          <w:tcPr>
            <w:tcW w:w="1448" w:type="dxa"/>
          </w:tcPr>
          <w:p w14:paraId="44FAE0FF"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Manganese in home tap water (</w:t>
            </w:r>
            <w:proofErr w:type="spellStart"/>
            <w:r w:rsidRPr="002873D0">
              <w:rPr>
                <w:rFonts w:ascii="Cambria" w:hAnsi="Cambria"/>
                <w:b w:val="0"/>
                <w:color w:val="auto"/>
                <w:sz w:val="22"/>
                <w:lang w:val="en-GB"/>
              </w:rPr>
              <w:t>MnW</w:t>
            </w:r>
            <w:proofErr w:type="spellEnd"/>
            <w:r w:rsidRPr="002873D0">
              <w:rPr>
                <w:rFonts w:ascii="Cambria" w:hAnsi="Cambria"/>
                <w:b w:val="0"/>
                <w:color w:val="auto"/>
                <w:sz w:val="22"/>
                <w:lang w:val="en-GB"/>
              </w:rPr>
              <w:t>)</w:t>
            </w:r>
          </w:p>
        </w:tc>
        <w:tc>
          <w:tcPr>
            <w:tcW w:w="1587" w:type="dxa"/>
          </w:tcPr>
          <w:p w14:paraId="67967844"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Oulhote</w:t>
            </w:r>
            <w:proofErr w:type="spellEnd"/>
            <w:r w:rsidRPr="002873D0">
              <w:rPr>
                <w:rFonts w:ascii="Cambria" w:hAnsi="Cambria"/>
                <w:b w:val="0"/>
                <w:color w:val="auto"/>
                <w:sz w:val="22"/>
                <w:lang w:val="en-GB"/>
              </w:rPr>
              <w:t xml:space="preserve"> et al. 2014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{"citationID":"PUcuxaOv","properties":{"formattedCitation":"[48]","plainCitation":"[48]","noteIndex":0},"citationItems":[{"id":251,"uris":["http://zotero.org/users/10236804/items/ZBWJSWJT"],"itemData":{"id":251,"type":"article-journal","container-title":"Environmental Health Perspectives","DOI":"10.1289/ehp.1307918","ISSN":"0091-6765, 1552-9924","issue":"12","journalAbbreviation":"Environ Health Perspect","language":"en","note":"publisher: Environmental Health Perspectives","page":"1343-1350","source":"Crossref","title":"Neurobehavioral Function in School-Age Children Exposed to Manganese in Drinking Water","URL":"https://ehp.niehs.nih.gov/doi/10.1289/ehp.1307918","volume":"122","author":[{"family":"Oulhote","given":"Youssef"},{"family":"Mergler","given":"Donna"},{"family":"Barbeau","given":"Benoit"},{"family":"Bellinger","given":"David C."},{"family":"Bouffard","given":"Thérèse"},{"family":"Brodeur","given":"Marie-Ève"},{"family":"Saint-Amour","given":"Dave"},{"family":"Legrand","given":"Melissa"},{"family":"Sauvé","given":"Sébastien"},{"family":"Bouchard","given":"Maryse F."}],"accessed":{"date-parts":[["2025",5,1]]},"issued":{"date-parts":[["2014",12]]}}}],"schema":"https://github.com/citation-style-language/schema/raw/master/csl-citation.json"}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[48]</w:t>
            </w:r>
            <w:r w:rsidRPr="002873D0">
              <w:rPr>
                <w:rFonts w:ascii="Cambria" w:hAnsi="Cambria"/>
                <w:b w:val="0"/>
                <w:color w:val="auto"/>
                <w:sz w:val="22"/>
                <w:lang w:val="en-GB"/>
              </w:rPr>
              <w:fldChar w:fldCharType="end"/>
            </w:r>
          </w:p>
        </w:tc>
      </w:tr>
      <w:tr w:rsidR="00992C99" w:rsidRPr="002873D0" w14:paraId="46618BFB" w14:textId="77777777" w:rsidTr="00C93C33">
        <w:trPr>
          <w:trHeight w:val="1444"/>
        </w:trPr>
        <w:tc>
          <w:tcPr>
            <w:tcW w:w="567" w:type="dxa"/>
          </w:tcPr>
          <w:p w14:paraId="559DF34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13</w:t>
            </w:r>
          </w:p>
        </w:tc>
        <w:tc>
          <w:tcPr>
            <w:tcW w:w="1134" w:type="dxa"/>
          </w:tcPr>
          <w:p w14:paraId="278B5313"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Case series design (observational study)</w:t>
            </w:r>
          </w:p>
        </w:tc>
        <w:tc>
          <w:tcPr>
            <w:tcW w:w="851" w:type="dxa"/>
          </w:tcPr>
          <w:p w14:paraId="26FEB6AD"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Very low</w:t>
            </w:r>
          </w:p>
        </w:tc>
        <w:tc>
          <w:tcPr>
            <w:tcW w:w="823" w:type="dxa"/>
          </w:tcPr>
          <w:p w14:paraId="14B2DC3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2006</w:t>
            </w:r>
          </w:p>
        </w:tc>
        <w:tc>
          <w:tcPr>
            <w:tcW w:w="988" w:type="dxa"/>
          </w:tcPr>
          <w:p w14:paraId="2CB7343A"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Four individuals aged 23, 35, 40, and 59</w:t>
            </w:r>
          </w:p>
        </w:tc>
        <w:tc>
          <w:tcPr>
            <w:tcW w:w="1392" w:type="dxa"/>
          </w:tcPr>
          <w:p w14:paraId="0B5B4D6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Low magnesium in water</w:t>
            </w:r>
          </w:p>
        </w:tc>
        <w:tc>
          <w:tcPr>
            <w:tcW w:w="1275" w:type="dxa"/>
          </w:tcPr>
          <w:p w14:paraId="48B5CC2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Improved memory and mood</w:t>
            </w:r>
          </w:p>
        </w:tc>
        <w:tc>
          <w:tcPr>
            <w:tcW w:w="1448" w:type="dxa"/>
          </w:tcPr>
          <w:p w14:paraId="0164C1B1"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n/a</w:t>
            </w:r>
          </w:p>
        </w:tc>
        <w:tc>
          <w:tcPr>
            <w:tcW w:w="1587" w:type="dxa"/>
          </w:tcPr>
          <w:p w14:paraId="11676384" w14:textId="77777777" w:rsidR="00992C99" w:rsidRPr="002873D0" w:rsidRDefault="00992C99" w:rsidP="006F1E51">
            <w:pPr>
              <w:pStyle w:val="MDPI21heading1"/>
              <w:spacing w:line="360" w:lineRule="auto"/>
              <w:ind w:left="0"/>
              <w:rPr>
                <w:rFonts w:ascii="Cambria" w:hAnsi="Cambria"/>
                <w:b w:val="0"/>
                <w:color w:val="auto"/>
                <w:sz w:val="22"/>
                <w:lang w:val="en-GB"/>
              </w:rPr>
            </w:pPr>
            <w:proofErr w:type="spellStart"/>
            <w:r w:rsidRPr="002873D0">
              <w:rPr>
                <w:rFonts w:ascii="Cambria" w:hAnsi="Cambria"/>
                <w:b w:val="0"/>
                <w:color w:val="auto"/>
                <w:sz w:val="22"/>
                <w:lang w:val="en-GB"/>
              </w:rPr>
              <w:t>Eby</w:t>
            </w:r>
            <w:proofErr w:type="spellEnd"/>
            <w:r w:rsidRPr="002873D0">
              <w:rPr>
                <w:rFonts w:ascii="Cambria" w:hAnsi="Cambria"/>
                <w:b w:val="0"/>
                <w:color w:val="auto"/>
                <w:sz w:val="22"/>
                <w:lang w:val="en-GB"/>
              </w:rPr>
              <w:t xml:space="preserve"> et al. 2006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{"citationID":"KQKzPePL","properties":{"formattedCitation":"[49]","plainCitation":"[49]","noteIndex":0},"citationItems":[{"id":256,"uris":["http://zotero.org/users/10236804/items/E65DJTY4"],"itemData":{"id":256,"type":"article-journal","container-title":"Medical Hypotheses","DOI":"10.1016/j.mehy.2006.01.047","ISSN":"0306-9877","issue":"2","language":"en","license":"https://www.elsevier.com/tdm/userlicense/1.0/","note":"publisher: Elsevier BV","page":"362-370","source":"Crossref","title":"Rapid recovery from major depression using magnesium treatment","URL":"https://linkinghub.elsevier.com/retrieve/pii/S0306987706001034","volume":"67","author":[{"family":"Eby","given":"George A."},{"family":"Eby","given":"Karen L."}],"accessed":{"date-parts":[["2025",5,1]]},"issued":{"date-parts":[["2006",1]]}}}],"schema":"https://github.com/citation-style-language/schema/raw/master/csl-citation.json"}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[49]</w:t>
            </w:r>
            <w:r w:rsidRPr="002873D0">
              <w:rPr>
                <w:rFonts w:ascii="Cambria" w:hAnsi="Cambria"/>
                <w:b w:val="0"/>
                <w:color w:val="auto"/>
                <w:sz w:val="22"/>
                <w:lang w:val="en-GB"/>
              </w:rPr>
              <w:fldChar w:fldCharType="end"/>
            </w:r>
          </w:p>
        </w:tc>
      </w:tr>
      <w:tr w:rsidR="00992C99" w:rsidRPr="002873D0" w14:paraId="4FCF9118" w14:textId="77777777" w:rsidTr="00C93C33">
        <w:trPr>
          <w:trHeight w:val="2208"/>
        </w:trPr>
        <w:tc>
          <w:tcPr>
            <w:tcW w:w="567" w:type="dxa"/>
          </w:tcPr>
          <w:p w14:paraId="2743F70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14</w:t>
            </w:r>
          </w:p>
        </w:tc>
        <w:tc>
          <w:tcPr>
            <w:tcW w:w="1134" w:type="dxa"/>
          </w:tcPr>
          <w:p w14:paraId="7568E424"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Case report study</w:t>
            </w:r>
          </w:p>
        </w:tc>
        <w:tc>
          <w:tcPr>
            <w:tcW w:w="851" w:type="dxa"/>
          </w:tcPr>
          <w:p w14:paraId="54052B0B"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Very low</w:t>
            </w:r>
          </w:p>
        </w:tc>
        <w:tc>
          <w:tcPr>
            <w:tcW w:w="823" w:type="dxa"/>
          </w:tcPr>
          <w:p w14:paraId="65512979"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2006</w:t>
            </w:r>
          </w:p>
        </w:tc>
        <w:tc>
          <w:tcPr>
            <w:tcW w:w="988" w:type="dxa"/>
          </w:tcPr>
          <w:p w14:paraId="75B0F70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Two individuals aged 48 and 52</w:t>
            </w:r>
          </w:p>
        </w:tc>
        <w:tc>
          <w:tcPr>
            <w:tcW w:w="1392" w:type="dxa"/>
          </w:tcPr>
          <w:p w14:paraId="21027D60"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Acute thallium-contaminated water ingestion</w:t>
            </w:r>
          </w:p>
        </w:tc>
        <w:tc>
          <w:tcPr>
            <w:tcW w:w="1275" w:type="dxa"/>
          </w:tcPr>
          <w:p w14:paraId="779082A5"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Neurological symptoms and </w:t>
            </w:r>
            <w:r w:rsidRPr="002873D0">
              <w:rPr>
                <w:rFonts w:ascii="Cambria" w:hAnsi="Cambria"/>
                <w:b w:val="0"/>
                <w:color w:val="auto"/>
                <w:sz w:val="22"/>
                <w:lang w:val="en-GB"/>
              </w:rPr>
              <w:lastRenderedPageBreak/>
              <w:t>memory deficits</w:t>
            </w:r>
          </w:p>
        </w:tc>
        <w:tc>
          <w:tcPr>
            <w:tcW w:w="1448" w:type="dxa"/>
          </w:tcPr>
          <w:p w14:paraId="7DF0EBAC"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lastRenderedPageBreak/>
              <w:t>Blood thallium levels</w:t>
            </w:r>
          </w:p>
        </w:tc>
        <w:tc>
          <w:tcPr>
            <w:tcW w:w="1587" w:type="dxa"/>
          </w:tcPr>
          <w:p w14:paraId="1E8E2FE1" w14:textId="77777777" w:rsidR="00992C99" w:rsidRPr="002873D0" w:rsidRDefault="00992C99" w:rsidP="006F1E51">
            <w:pPr>
              <w:pStyle w:val="MDPI21heading1"/>
              <w:spacing w:line="360" w:lineRule="auto"/>
              <w:ind w:left="0"/>
              <w:rPr>
                <w:rFonts w:ascii="Cambria" w:hAnsi="Cambria"/>
                <w:b w:val="0"/>
                <w:color w:val="auto"/>
                <w:sz w:val="22"/>
                <w:lang w:val="en-GB"/>
              </w:rPr>
            </w:pPr>
            <w:r w:rsidRPr="002873D0">
              <w:rPr>
                <w:rFonts w:ascii="Cambria" w:hAnsi="Cambria"/>
                <w:b w:val="0"/>
                <w:color w:val="auto"/>
                <w:sz w:val="22"/>
                <w:lang w:val="en-GB"/>
              </w:rPr>
              <w:t xml:space="preserve">Tsai et al. 2006 </w:t>
            </w:r>
            <w:r w:rsidRPr="002873D0">
              <w:rPr>
                <w:rFonts w:ascii="Cambria" w:hAnsi="Cambria"/>
                <w:b w:val="0"/>
                <w:color w:val="auto"/>
                <w:sz w:val="22"/>
                <w:lang w:val="en-GB"/>
              </w:rPr>
              <w:fldChar w:fldCharType="begin"/>
            </w:r>
            <w:r w:rsidRPr="002873D0">
              <w:rPr>
                <w:rFonts w:ascii="Cambria" w:hAnsi="Cambria"/>
                <w:b w:val="0"/>
                <w:color w:val="auto"/>
                <w:sz w:val="22"/>
                <w:lang w:val="en-GB"/>
              </w:rPr>
              <w:instrText xml:space="preserve"> ADDIN ZOTERO_ITEM CSL_CITATION {"citationID":"2FbJ8sgI","properties":{"formattedCitation":"[50]","plainCitation":"[50]","noteIndex":0},"citationItems":[{"id":254,"uris":["http://zotero.org/users/10236804/items/LT6VE7S5"],"itemData":{"id":254,"type":"article-journal","container-title":"NeuroToxicology","DOI":"10.1016/j.neuro.2005.10.009","ISSN":"0161-813X","issue":"2","language":"en","license":"https://www.elsevier.com/tdm/userlicense/1.0/","note":"publisher: Elsevier BV","page":"291-295","source":"Crossref","title":"Central nervous system effects in acute thallium poisoning","URL":"https://linkinghub.elsevier.com/retrieve/pii/S0161813X05001877","volume":"27","author":[{"family":"Tsai","given":"Yu-Tai"},{"family":"Huang","given":"Chin-Chang"},{"family":"Kuo","given":"Hung-Chou"},{"family":"Wang","given":"Hsuan-Min"},{"family":"Shen","given":"Wu-Shiun"},{"family":"Shih","given":"Tung-Sheng"},{"family":"Chu","given":"Nai-Shin"}],"accessed":{"date-parts":[["2025",5,1]]},"issued":{"date-parts":[["2006",3]]}}}],"schema":"https://github.com/citation-style-language/schema/raw/master/csl-citation.json"} </w:instrText>
            </w:r>
            <w:r w:rsidRPr="002873D0">
              <w:rPr>
                <w:rFonts w:ascii="Cambria" w:hAnsi="Cambria"/>
                <w:b w:val="0"/>
                <w:color w:val="auto"/>
                <w:sz w:val="22"/>
                <w:lang w:val="en-GB"/>
              </w:rPr>
              <w:fldChar w:fldCharType="separate"/>
            </w:r>
            <w:r w:rsidRPr="002873D0">
              <w:rPr>
                <w:rFonts w:ascii="Cambria" w:hAnsi="Cambria"/>
                <w:b w:val="0"/>
                <w:noProof/>
                <w:color w:val="auto"/>
                <w:sz w:val="22"/>
                <w:lang w:val="en-GB"/>
              </w:rPr>
              <w:t>[50]</w:t>
            </w:r>
            <w:r w:rsidRPr="002873D0">
              <w:rPr>
                <w:rFonts w:ascii="Cambria" w:hAnsi="Cambria"/>
                <w:b w:val="0"/>
                <w:color w:val="auto"/>
                <w:sz w:val="22"/>
                <w:lang w:val="en-GB"/>
              </w:rPr>
              <w:fldChar w:fldCharType="end"/>
            </w:r>
          </w:p>
        </w:tc>
      </w:tr>
    </w:tbl>
    <w:p w14:paraId="2EE684D5" w14:textId="77777777" w:rsidR="00992C99" w:rsidRDefault="00992C99"/>
    <w:sectPr w:rsidR="00992C99" w:rsidSect="00992C99">
      <w:type w:val="continuous"/>
      <w:pgSz w:w="11906" w:h="16838" w:code="9"/>
      <w:pgMar w:top="1440" w:right="1440" w:bottom="1440" w:left="1440" w:header="1021" w:footer="340" w:gutter="0"/>
      <w:cols w:space="708"/>
      <w:vAlign w:val="both"/>
      <w:bidi/>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9"/>
    <w:rsid w:val="001944F8"/>
    <w:rsid w:val="00225F5F"/>
    <w:rsid w:val="002E083D"/>
    <w:rsid w:val="002E56D4"/>
    <w:rsid w:val="00992C99"/>
    <w:rsid w:val="00C93C33"/>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BA04"/>
  <w15:chartTrackingRefBased/>
  <w15:docId w15:val="{924B202E-70B5-7F48-AA55-A68D1E09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92C99"/>
  </w:style>
  <w:style w:type="table" w:customStyle="1" w:styleId="Mdeck5tablebodythreelines">
    <w:name w:val="M_deck_5_table_body_three_lines"/>
    <w:basedOn w:val="TableNormal"/>
    <w:uiPriority w:val="99"/>
    <w:rsid w:val="00992C99"/>
    <w:pPr>
      <w:adjustRightInd w:val="0"/>
      <w:snapToGrid w:val="0"/>
      <w:spacing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21heading1">
    <w:name w:val="MDPI_2.1_heading1"/>
    <w:qFormat/>
    <w:rsid w:val="00992C9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4391</Words>
  <Characters>25032</Characters>
  <Application>Microsoft Office Word</Application>
  <DocSecurity>0</DocSecurity>
  <Lines>208</Lines>
  <Paragraphs>58</Paragraphs>
  <ScaleCrop>false</ScaleCrop>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Ovinuchi Ejiohuo</dc:creator>
  <cp:keywords/>
  <dc:description/>
  <cp:lastModifiedBy>Ovinuchi Ejiohuo</cp:lastModifiedBy>
  <cp:revision>2</cp:revision>
  <dcterms:created xsi:type="dcterms:W3CDTF">2025-12-23T09:42:00Z</dcterms:created>
  <dcterms:modified xsi:type="dcterms:W3CDTF">2025-12-23T09:50:00Z</dcterms:modified>
</cp:coreProperties>
</file>